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E0" w:rsidRDefault="00B14BE0" w:rsidP="005E1B07">
      <w:pPr>
        <w:pStyle w:val="Normale1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563929" w:rsidRDefault="00563929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5B1FAA" w:rsidRDefault="001C4F96" w:rsidP="005E1B07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B73438">
        <w:rPr>
          <w:rFonts w:ascii="Times New Roman" w:eastAsia="Times New Roman" w:hAnsi="Times New Roman" w:cs="Times New Roman"/>
        </w:rPr>
        <w:t>Comunicato stampa</w:t>
      </w:r>
      <w:r w:rsidR="00773D1C" w:rsidRPr="00B73438">
        <w:rPr>
          <w:rFonts w:ascii="Times New Roman" w:eastAsia="Times New Roman" w:hAnsi="Times New Roman" w:cs="Times New Roman"/>
        </w:rPr>
        <w:t xml:space="preserve"> </w:t>
      </w:r>
      <w:r w:rsidR="0027100C">
        <w:rPr>
          <w:rFonts w:ascii="Times New Roman" w:eastAsia="Times New Roman" w:hAnsi="Times New Roman" w:cs="Times New Roman"/>
        </w:rPr>
        <w:t>n.19</w:t>
      </w:r>
      <w:bookmarkStart w:id="0" w:name="_GoBack"/>
      <w:bookmarkEnd w:id="0"/>
      <w:r w:rsidR="00B14BE0" w:rsidRPr="00B73438">
        <w:rPr>
          <w:rFonts w:ascii="Times New Roman" w:eastAsia="Times New Roman" w:hAnsi="Times New Roman" w:cs="Times New Roman"/>
        </w:rPr>
        <w:t xml:space="preserve">/2017 </w:t>
      </w:r>
    </w:p>
    <w:p w:rsidR="00266216" w:rsidRPr="002F518D" w:rsidRDefault="00266216" w:rsidP="00266216">
      <w:pPr>
        <w:jc w:val="both"/>
        <w:rPr>
          <w:b/>
          <w:sz w:val="28"/>
          <w:szCs w:val="28"/>
        </w:rPr>
      </w:pPr>
      <w:r w:rsidRPr="002F518D">
        <w:rPr>
          <w:b/>
          <w:sz w:val="28"/>
          <w:szCs w:val="28"/>
        </w:rPr>
        <w:t xml:space="preserve">Sviluppo agricolo dell’Africa, una sfida possibile </w:t>
      </w:r>
    </w:p>
    <w:p w:rsidR="00266216" w:rsidRPr="002F518D" w:rsidRDefault="00266216" w:rsidP="00266216">
      <w:pPr>
        <w:jc w:val="both"/>
        <w:rPr>
          <w:b/>
          <w:i/>
        </w:rPr>
      </w:pPr>
      <w:r w:rsidRPr="002F518D">
        <w:rPr>
          <w:b/>
          <w:i/>
        </w:rPr>
        <w:t xml:space="preserve">Un convegno dedicato alle prospettive economiche dell’Africa sub-sahariana ha animato la seconda giornata di </w:t>
      </w:r>
      <w:proofErr w:type="spellStart"/>
      <w:r w:rsidRPr="002F518D">
        <w:rPr>
          <w:b/>
          <w:i/>
        </w:rPr>
        <w:t>Agrilevante</w:t>
      </w:r>
      <w:proofErr w:type="spellEnd"/>
      <w:r w:rsidRPr="002F518D">
        <w:rPr>
          <w:b/>
          <w:i/>
        </w:rPr>
        <w:t>, la rassegna internazionale delle tecnologie per l’agricoltura in svolgimento alla fiera di Bari. Autorevoli rappresentanti di organizzazioni ed enti internazionali si sono confrontati sui modelli di agricoltura e di meccanizzazione più adatti per i Paesi della regione, e sui programmi di cooperazione. Un’indagine di Nomisma, appositamente realizzata, fornisce una mappa delle caratteristiche e delle potenzialità di un gruppo di undici Paesi-chiave.</w:t>
      </w:r>
    </w:p>
    <w:p w:rsidR="00266216" w:rsidRPr="00D41303" w:rsidRDefault="00266216" w:rsidP="00266216">
      <w:pPr>
        <w:jc w:val="both"/>
      </w:pPr>
      <w:r>
        <w:t xml:space="preserve">Nell’atlante mondiale dell’economia e delle realtà sociali </w:t>
      </w:r>
      <w:r w:rsidR="00407926">
        <w:t>l’</w:t>
      </w:r>
      <w:r>
        <w:t xml:space="preserve">Africa sub-sahariana si colloca all’ultimo posto. Il </w:t>
      </w:r>
      <w:proofErr w:type="spellStart"/>
      <w:r>
        <w:t>Pil</w:t>
      </w:r>
      <w:proofErr w:type="spellEnd"/>
      <w:r>
        <w:t xml:space="preserve"> dell’intera area</w:t>
      </w:r>
      <w:r w:rsidRPr="002370CB">
        <w:t xml:space="preserve">, </w:t>
      </w:r>
      <w:r>
        <w:t xml:space="preserve">complessivamente </w:t>
      </w:r>
      <w:r w:rsidRPr="002370CB">
        <w:t>inferiore a quello della sola Italia</w:t>
      </w:r>
      <w:r>
        <w:t>,</w:t>
      </w:r>
      <w:r w:rsidR="008575B1">
        <w:t xml:space="preserve"> </w:t>
      </w:r>
      <w:r>
        <w:t xml:space="preserve">rappresenta appena il 2% del valore globale e il </w:t>
      </w:r>
      <w:proofErr w:type="spellStart"/>
      <w:r>
        <w:t>Pil</w:t>
      </w:r>
      <w:proofErr w:type="spellEnd"/>
      <w:r>
        <w:t xml:space="preserve"> pro-capite è pari a 3.400 dollari annui, di molto inferiore alla media mondiale (15.000 dollari) e incomparabile con il valore di un Paese come gli Stati Uniti (52.000 dollari). Particolarmente elevata, infine, è la percentuale di popolazione che soffre di denutrizione (22,7%). Nell’Africa sub-sahariana l’agricoltura ha un peso molto rilevante (copre il 18% del </w:t>
      </w:r>
      <w:proofErr w:type="spellStart"/>
      <w:r>
        <w:t>Pil</w:t>
      </w:r>
      <w:proofErr w:type="spellEnd"/>
      <w:r>
        <w:t xml:space="preserve">, contro una quota dell’1,1% negli USA e dell’l,5% in Europa) ma la sua capacità produttiva è ancora molto bassa e poco efficiente, come evidenzia il dato sulla variazione della Produttività Totale dei Fattori (TFP) che indica come nel periodo 2001-2013 l’Africa Sub-sahariana abbia registrato una crescita media annuale di appena lo 0,6%, nettamente inferiore rispetto a quella ad esempio dell’area asiatica (+2,6%). Il ritardo con il quale evolve l’economia di questa parte dell’Africa è dunque evidente, eppure è proprio il forte “gap” a rendere la regione particolarmente interessante per gli investimenti e i programmi di sviluppo. Il sistema produttivo agricolo ed agro-alimentare, infatti, deve necessariamente evolvere per colmare il divario con gli altri sistemi economici, e ciò potrebbe accadere in tempi relativamente brevi. Questo è emerso dal convegno sul tema “Economia agricola e stabilità politica: una sfida per l’Africa e il Mediterraneo”, tenutosi questa mattina nell’ambito della rassegna internazionale di </w:t>
      </w:r>
      <w:proofErr w:type="spellStart"/>
      <w:r>
        <w:t>Agrilevante</w:t>
      </w:r>
      <w:proofErr w:type="spellEnd"/>
      <w:r>
        <w:t xml:space="preserve">, in svolgimento alla fiera di Bari. Promosso da </w:t>
      </w:r>
      <w:proofErr w:type="spellStart"/>
      <w:r>
        <w:t>FederUnacoma</w:t>
      </w:r>
      <w:proofErr w:type="spellEnd"/>
      <w:r>
        <w:t xml:space="preserve">, in collaborazione con la Regione Puglia, il convegno </w:t>
      </w:r>
      <w:r w:rsidR="00407926">
        <w:t>-</w:t>
      </w:r>
      <w:r>
        <w:t xml:space="preserve"> moderato dal giornalista RAI Attilio Romita - ha visto la partecipazione di Leonardo Di Gioia, assessore all’agricoltura della Regione, Stefano Baldi e Denis </w:t>
      </w:r>
      <w:proofErr w:type="spellStart"/>
      <w:r>
        <w:t>Pantini</w:t>
      </w:r>
      <w:proofErr w:type="spellEnd"/>
      <w:r>
        <w:t xml:space="preserve"> di Nomisma, Luigi </w:t>
      </w:r>
      <w:proofErr w:type="spellStart"/>
      <w:r>
        <w:t>Bodria</w:t>
      </w:r>
      <w:proofErr w:type="spellEnd"/>
      <w:r>
        <w:t xml:space="preserve"> del Club of Bologna, Joseph Kienzle della FAO, </w:t>
      </w:r>
      <w:proofErr w:type="spellStart"/>
      <w:r>
        <w:t>Maroun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Moujabber</w:t>
      </w:r>
      <w:proofErr w:type="spellEnd"/>
      <w:r>
        <w:t xml:space="preserve"> del CHIEAM Bari, Giuseppe Mistretta del Ministero degli Affari Esteri e della Cooperazione Internazionale, </w:t>
      </w:r>
      <w:r w:rsidR="008575B1">
        <w:t xml:space="preserve">e </w:t>
      </w:r>
      <w:r>
        <w:t xml:space="preserve">Alessandro </w:t>
      </w:r>
      <w:proofErr w:type="spellStart"/>
      <w:r>
        <w:t>Malavolti</w:t>
      </w:r>
      <w:proofErr w:type="spellEnd"/>
      <w:r>
        <w:t xml:space="preserve"> di </w:t>
      </w:r>
      <w:proofErr w:type="spellStart"/>
      <w:r>
        <w:t>FederUnacoma</w:t>
      </w:r>
      <w:proofErr w:type="spellEnd"/>
      <w:r>
        <w:t>, prevedendo anche le testimonianze dei rappresentanti dei governi di Egitto, Sudan e Zambia. I contributi dei relatori, centrati</w:t>
      </w:r>
      <w:r w:rsidR="00407926">
        <w:t xml:space="preserve"> su aspetti quali le politiche d</w:t>
      </w:r>
      <w:r>
        <w:t xml:space="preserve">i sviluppo della regione sub-sahariana, le tecnologie meccaniche per incrementare la produttività agricola, il ruolo degli organismi internazionali e dei programmi di cooperazione, le strutture per la formazione e l’assistenza tecnica, si sono sviluppati a partire da un’indagine appositamente realizzata da Nomisma, che considera undici Paesi dell’area (Nigeria, Eritrea, Guinea, Costa D’Avorio, Kenya, Etiopia, Tanzania, Uganda, Ghana, Sudan e Zambia) e che mette in luce per ciascuno di essi i fattori critici e le potenzialità. Oltre ad analizzare la produttività dell’agricoltura, la superficie agricola impegnata e gli orientamenti colturali prevalenti nei diversi Paesi, l’indagine approfondisce gli indici di meccanizzazione, considerati un elemento fondamentale per lo sviluppo </w:t>
      </w:r>
      <w:r>
        <w:lastRenderedPageBreak/>
        <w:t xml:space="preserve">dell’economia primaria. La dotazione meccanica risulta complessivamente molto scarsa, anche se da Paese a Paese si notano differenze vistose: per il Kenya e lo Zambia si stima un indice rispettivamente di 251 e 209 trattori ogni 100.000 ettari, mentre la densità di meccanizzazione si riduce in modo drastico in Paesi come la Nigeria e l’Uganda, e tocca il livello più basso in Ghana ed Etiopia con 40 trattori ogni 100.000 ettari. La meccanizzazione deve rapidamente crescere – è stato spiegato nel corso del convegno – ma puntando su tecnologie specifiche per i contesti africani, vale a dire mezzi meccanici di dimensioni contenute e di facile manutenzione. La metodica per la valutazione dei requisiti economici dei vari Paesi – messa a punto da Nomisma – ha infine consentito di suddividere gli stessi in base alle potenzialità, evidenziando come in alcuni casi (vedi in particolare Tanzania, Etiopia e Zambia) i programmi di cooperazione internazionale e gli investimenti nell’acquisto di mezzi meccanici possano marciare con maggiore velocità. Programmi di sviluppo agricolo – è altresì emerso nel corso dell’incontro – consentono in prospettiva di mantenere le popolazioni locali legate ai propri luoghi d’origine, contenendo anche i flussi migratori verso l’Europa. Paesi come </w:t>
      </w:r>
      <w:r w:rsidRPr="00D41303">
        <w:t>Nigeria, Guinea</w:t>
      </w:r>
      <w:r>
        <w:t xml:space="preserve">, </w:t>
      </w:r>
      <w:r w:rsidRPr="00D41303">
        <w:t>Costa d’Avorio</w:t>
      </w:r>
      <w:r>
        <w:t xml:space="preserve"> ed</w:t>
      </w:r>
      <w:r w:rsidRPr="00D41303">
        <w:t xml:space="preserve"> Eritrea</w:t>
      </w:r>
      <w:r>
        <w:t>, che alimentano cospicui flussi migratori verso l’Italia, avrebbero in realtà le potenzialità per sviluppare sistemi agricoli efficienti e offrire alle proprie comunità una prospettiva di vita migliore. Un motivo in più per rilanciare il sistema della cooperazione e del trasferimento tecnologico.</w:t>
      </w:r>
    </w:p>
    <w:p w:rsidR="00E34FBB" w:rsidRDefault="00E34FBB" w:rsidP="00563929">
      <w:pPr>
        <w:ind w:right="567"/>
        <w:jc w:val="both"/>
        <w:rPr>
          <w:b/>
        </w:rPr>
      </w:pPr>
    </w:p>
    <w:p w:rsidR="00687E77" w:rsidRPr="00563929" w:rsidRDefault="008575B1" w:rsidP="00563929">
      <w:pPr>
        <w:ind w:right="567"/>
        <w:jc w:val="both"/>
      </w:pPr>
      <w:r>
        <w:rPr>
          <w:b/>
        </w:rPr>
        <w:t>Bari, 13</w:t>
      </w:r>
      <w:r w:rsidR="00687E77" w:rsidRPr="00A91338">
        <w:rPr>
          <w:b/>
        </w:rPr>
        <w:t xml:space="preserve"> ottobre 2017</w:t>
      </w:r>
    </w:p>
    <w:p w:rsidR="00604641" w:rsidRPr="005B1FAA" w:rsidRDefault="00604641" w:rsidP="00687E77">
      <w:pPr>
        <w:jc w:val="both"/>
        <w:rPr>
          <w:b/>
        </w:rPr>
      </w:pPr>
    </w:p>
    <w:sectPr w:rsidR="00604641" w:rsidRPr="005B1FAA" w:rsidSect="003A2106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A2" w:rsidRDefault="00F317A2">
      <w:r>
        <w:separator/>
      </w:r>
    </w:p>
  </w:endnote>
  <w:endnote w:type="continuationSeparator" w:id="0">
    <w:p w:rsidR="00F317A2" w:rsidRDefault="00F3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76910"/>
      <w:docPartObj>
        <w:docPartGallery w:val="Page Numbers (Bottom of Page)"/>
        <w:docPartUnique/>
      </w:docPartObj>
    </w:sdtPr>
    <w:sdtEndPr/>
    <w:sdtContent>
      <w:p w:rsidR="000305E3" w:rsidRDefault="000305E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0C">
          <w:rPr>
            <w:noProof/>
          </w:rPr>
          <w:t>2</w:t>
        </w:r>
        <w:r>
          <w:fldChar w:fldCharType="end"/>
        </w:r>
      </w:p>
    </w:sdtContent>
  </w:sdt>
  <w:p w:rsidR="00B14BE0" w:rsidRDefault="00B14B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434961"/>
      <w:docPartObj>
        <w:docPartGallery w:val="Page Numbers (Bottom of Page)"/>
        <w:docPartUnique/>
      </w:docPartObj>
    </w:sdtPr>
    <w:sdtEndPr/>
    <w:sdtContent>
      <w:p w:rsidR="007841EA" w:rsidRDefault="007841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0C">
          <w:rPr>
            <w:noProof/>
          </w:rPr>
          <w:t>1</w:t>
        </w:r>
        <w:r>
          <w:fldChar w:fldCharType="end"/>
        </w:r>
      </w:p>
    </w:sdtContent>
  </w:sdt>
  <w:p w:rsidR="0042382F" w:rsidRDefault="004238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A2" w:rsidRDefault="00F317A2">
      <w:r>
        <w:separator/>
      </w:r>
    </w:p>
  </w:footnote>
  <w:footnote w:type="continuationSeparator" w:id="0">
    <w:p w:rsidR="00F317A2" w:rsidRDefault="00F3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24B58"/>
    <w:rsid w:val="000305E3"/>
    <w:rsid w:val="000625F8"/>
    <w:rsid w:val="00131680"/>
    <w:rsid w:val="00162BE3"/>
    <w:rsid w:val="001670CF"/>
    <w:rsid w:val="001C4F96"/>
    <w:rsid w:val="001F7A7C"/>
    <w:rsid w:val="001F7FEA"/>
    <w:rsid w:val="00201BF7"/>
    <w:rsid w:val="00206A25"/>
    <w:rsid w:val="00207AEE"/>
    <w:rsid w:val="00211418"/>
    <w:rsid w:val="00255135"/>
    <w:rsid w:val="00266216"/>
    <w:rsid w:val="0027100C"/>
    <w:rsid w:val="0028480D"/>
    <w:rsid w:val="002A6083"/>
    <w:rsid w:val="00304ABD"/>
    <w:rsid w:val="0036282B"/>
    <w:rsid w:val="003A2106"/>
    <w:rsid w:val="003D252F"/>
    <w:rsid w:val="0040339F"/>
    <w:rsid w:val="00407926"/>
    <w:rsid w:val="0042113E"/>
    <w:rsid w:val="00421F31"/>
    <w:rsid w:val="0042382F"/>
    <w:rsid w:val="004C219C"/>
    <w:rsid w:val="00531DD2"/>
    <w:rsid w:val="00537EC4"/>
    <w:rsid w:val="005624A0"/>
    <w:rsid w:val="00563929"/>
    <w:rsid w:val="00581465"/>
    <w:rsid w:val="005B1FAA"/>
    <w:rsid w:val="005E1B07"/>
    <w:rsid w:val="00604641"/>
    <w:rsid w:val="00651D27"/>
    <w:rsid w:val="00682DB8"/>
    <w:rsid w:val="00687E77"/>
    <w:rsid w:val="006A0DFF"/>
    <w:rsid w:val="00716769"/>
    <w:rsid w:val="00735F2F"/>
    <w:rsid w:val="00773D1C"/>
    <w:rsid w:val="007841EA"/>
    <w:rsid w:val="007A33A7"/>
    <w:rsid w:val="008153E6"/>
    <w:rsid w:val="008575B1"/>
    <w:rsid w:val="008D375C"/>
    <w:rsid w:val="009326D2"/>
    <w:rsid w:val="009837DF"/>
    <w:rsid w:val="009A4B75"/>
    <w:rsid w:val="009B3E14"/>
    <w:rsid w:val="009D5714"/>
    <w:rsid w:val="009E210D"/>
    <w:rsid w:val="00A65336"/>
    <w:rsid w:val="00A7747E"/>
    <w:rsid w:val="00A942B0"/>
    <w:rsid w:val="00AD7C26"/>
    <w:rsid w:val="00AF48F6"/>
    <w:rsid w:val="00B14BE0"/>
    <w:rsid w:val="00B56486"/>
    <w:rsid w:val="00B63BB3"/>
    <w:rsid w:val="00B73438"/>
    <w:rsid w:val="00B85A7A"/>
    <w:rsid w:val="00BD2E6F"/>
    <w:rsid w:val="00C1182F"/>
    <w:rsid w:val="00C416D1"/>
    <w:rsid w:val="00C74681"/>
    <w:rsid w:val="00CD5C4F"/>
    <w:rsid w:val="00CE3535"/>
    <w:rsid w:val="00D51E88"/>
    <w:rsid w:val="00D85967"/>
    <w:rsid w:val="00DD4DD1"/>
    <w:rsid w:val="00DF6A3C"/>
    <w:rsid w:val="00E34FBB"/>
    <w:rsid w:val="00E42BBC"/>
    <w:rsid w:val="00E56406"/>
    <w:rsid w:val="00F317A2"/>
    <w:rsid w:val="00F33BF1"/>
    <w:rsid w:val="00F76383"/>
    <w:rsid w:val="00FA4C71"/>
    <w:rsid w:val="00FB6363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customStyle="1" w:styleId="Normale1">
    <w:name w:val="Normale1"/>
    <w:rsid w:val="00B14BE0"/>
    <w:rPr>
      <w:rFonts w:ascii="Liberation Serif" w:eastAsia="Liberation Serif" w:hAnsi="Liberation Serif" w:cs="Liberation Serif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BE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1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2017-10-12T18:24:00Z</cp:lastPrinted>
  <dcterms:created xsi:type="dcterms:W3CDTF">2017-10-13T14:15:00Z</dcterms:created>
  <dcterms:modified xsi:type="dcterms:W3CDTF">2017-10-13T14:15:00Z</dcterms:modified>
</cp:coreProperties>
</file>